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" type="frame"/>
    </v:background>
  </w:background>
  <w:body>
    <w:p w:rsidR="00490F50" w:rsidRDefault="00490F50" w:rsidP="00490F50">
      <w:pPr>
        <w:ind w:left="6480" w:firstLine="720"/>
        <w:jc w:val="center"/>
        <w:rPr>
          <w:rStyle w:val="FontStyle31"/>
          <w:w w:val="0"/>
          <w:sz w:val="22"/>
          <w:szCs w:val="22"/>
          <w:lang w:val="ru-RU"/>
        </w:rPr>
      </w:pPr>
    </w:p>
    <w:p w:rsidR="00687C23" w:rsidRPr="00D61220" w:rsidRDefault="00687C23" w:rsidP="00687C23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D61220">
        <w:rPr>
          <w:rFonts w:ascii="Times New Roman" w:hAnsi="Times New Roman" w:cs="Times New Roman"/>
          <w:b/>
          <w:bCs/>
          <w:lang w:val="ru-RU"/>
        </w:rPr>
        <w:t xml:space="preserve">Сообщение </w:t>
      </w:r>
      <w:r w:rsidR="001D1C15">
        <w:rPr>
          <w:rFonts w:ascii="Times New Roman" w:hAnsi="Times New Roman" w:cs="Times New Roman"/>
          <w:b/>
          <w:bCs/>
          <w:lang w:val="ru-RU"/>
        </w:rPr>
        <w:t>об инсайдерской информации</w:t>
      </w:r>
      <w:r w:rsidR="001D1C15" w:rsidRPr="00D6122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1C15">
        <w:rPr>
          <w:rFonts w:ascii="Times New Roman" w:hAnsi="Times New Roman" w:cs="Times New Roman"/>
          <w:b/>
          <w:bCs/>
          <w:lang w:val="ru-RU"/>
        </w:rPr>
        <w:t>и</w:t>
      </w:r>
      <w:r w:rsidR="001D1C15" w:rsidRPr="00D6122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61220">
        <w:rPr>
          <w:rFonts w:ascii="Times New Roman" w:hAnsi="Times New Roman" w:cs="Times New Roman"/>
          <w:b/>
          <w:bCs/>
          <w:lang w:val="ru-RU"/>
        </w:rPr>
        <w:t>о существенном факте</w:t>
      </w:r>
      <w:r w:rsidR="00F45B6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61220">
        <w:rPr>
          <w:rFonts w:ascii="Times New Roman" w:hAnsi="Times New Roman" w:cs="Times New Roman"/>
          <w:b/>
          <w:bCs/>
          <w:lang w:val="ru-RU"/>
        </w:rPr>
        <w:br/>
        <w:t xml:space="preserve">«О </w:t>
      </w:r>
      <w:r w:rsidR="00F37A03">
        <w:rPr>
          <w:rFonts w:ascii="Times New Roman" w:hAnsi="Times New Roman" w:cs="Times New Roman"/>
          <w:b/>
          <w:bCs/>
          <w:lang w:val="ru-RU"/>
        </w:rPr>
        <w:t>погашении облигаций или иных эмиссионных ценных</w:t>
      </w:r>
      <w:r w:rsidRPr="00D61220">
        <w:rPr>
          <w:rFonts w:ascii="Times New Roman" w:hAnsi="Times New Roman" w:cs="Times New Roman"/>
          <w:b/>
          <w:bCs/>
          <w:lang w:val="ru-RU"/>
        </w:rPr>
        <w:t xml:space="preserve"> бумаг эмитента»</w:t>
      </w:r>
    </w:p>
    <w:p w:rsidR="00687C23" w:rsidRPr="00D61220" w:rsidRDefault="00687C23" w:rsidP="00687C23">
      <w:pPr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87C23" w:rsidRPr="00687C23">
        <w:trPr>
          <w:cantSplit/>
          <w:trHeight w:val="284"/>
        </w:trPr>
        <w:tc>
          <w:tcPr>
            <w:tcW w:w="9639" w:type="dxa"/>
            <w:gridSpan w:val="2"/>
            <w:vAlign w:val="center"/>
          </w:tcPr>
          <w:p w:rsidR="00687C23" w:rsidRPr="00BF42CB" w:rsidRDefault="00687C23" w:rsidP="00E6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1. Общие сведения</w:t>
            </w:r>
          </w:p>
        </w:tc>
      </w:tr>
      <w:tr w:rsidR="00687C23" w:rsidRPr="00D61220"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«БНП ПАРИБА Банк» Закрытое</w:t>
            </w:r>
            <w:r w:rsidR="00E17CF7"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акционерное общество</w:t>
            </w:r>
          </w:p>
        </w:tc>
      </w:tr>
      <w:tr w:rsidR="00687C23" w:rsidRPr="00687C23"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БНП ПАРИБА» ЗАО</w:t>
            </w:r>
          </w:p>
        </w:tc>
      </w:tr>
      <w:tr w:rsidR="00687C23" w:rsidRPr="00D61220"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03" w:type="dxa"/>
            <w:vAlign w:val="center"/>
          </w:tcPr>
          <w:p w:rsidR="00687C23" w:rsidRPr="00D61220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125047, г. Москва, ул. Лесная, д.5</w:t>
            </w:r>
          </w:p>
        </w:tc>
      </w:tr>
      <w:tr w:rsidR="00687C23" w:rsidRPr="00687C23"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1.4. ОГРН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1027700045780</w:t>
            </w:r>
          </w:p>
        </w:tc>
      </w:tr>
      <w:tr w:rsidR="00687C23" w:rsidRPr="00687C23">
        <w:trPr>
          <w:trHeight w:val="284"/>
        </w:trPr>
        <w:tc>
          <w:tcPr>
            <w:tcW w:w="4536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sz w:val="22"/>
                <w:szCs w:val="22"/>
              </w:rPr>
              <w:t>1.5. ИНН эмитента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7744002405</w:t>
            </w:r>
          </w:p>
        </w:tc>
      </w:tr>
      <w:tr w:rsidR="00687C23" w:rsidRPr="00687C23"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vAlign w:val="center"/>
          </w:tcPr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03407В</w:t>
            </w:r>
          </w:p>
        </w:tc>
      </w:tr>
      <w:tr w:rsidR="00687C23" w:rsidRPr="00687C23">
        <w:trPr>
          <w:trHeight w:val="284"/>
        </w:trPr>
        <w:tc>
          <w:tcPr>
            <w:tcW w:w="4536" w:type="dxa"/>
            <w:vAlign w:val="center"/>
          </w:tcPr>
          <w:p w:rsidR="00687C23" w:rsidRPr="00D61220" w:rsidRDefault="00687C23" w:rsidP="00BF42CB">
            <w:pPr>
              <w:keepNext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vAlign w:val="center"/>
          </w:tcPr>
          <w:p w:rsidR="00E17CF7" w:rsidRPr="00D61220" w:rsidRDefault="00CB360C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hyperlink r:id="rId8" w:history="1"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http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://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www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e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-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disclosure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ru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/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portal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/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company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.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aspx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?</w:t>
              </w:r>
              <w:r w:rsidR="00E17CF7" w:rsidRPr="00BF42C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</w:rPr>
                <w:t>id</w:t>
              </w:r>
              <w:r w:rsidR="00E17CF7" w:rsidRPr="00D6122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lang w:val="ru-RU"/>
                </w:rPr>
                <w:t>=2497</w:t>
              </w:r>
            </w:hyperlink>
            <w:r w:rsidR="00E17CF7"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  <w:r w:rsidR="00687C23" w:rsidRPr="00D6122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687C23" w:rsidRPr="00BF42CB" w:rsidRDefault="00687C23" w:rsidP="00BF42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BF42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www.bnpparibaszao.ru</w:t>
            </w:r>
          </w:p>
        </w:tc>
      </w:tr>
    </w:tbl>
    <w:p w:rsidR="00687C23" w:rsidRPr="00687C23" w:rsidRDefault="00687C23" w:rsidP="00687C23">
      <w:pPr>
        <w:pStyle w:val="Header"/>
        <w:rPr>
          <w:rFonts w:ascii="Times New Roman" w:hAnsi="Times New Roman" w:cs="Times New Roman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687C23" w:rsidRPr="00687C23">
        <w:trPr>
          <w:cantSplit/>
          <w:trHeight w:val="284"/>
        </w:trPr>
        <w:tc>
          <w:tcPr>
            <w:tcW w:w="9640" w:type="dxa"/>
            <w:vAlign w:val="center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2.</w:t>
            </w:r>
            <w:r w:rsidRPr="00AB173B">
              <w:rPr>
                <w:rFonts w:ascii="Times New Roman" w:hAnsi="Times New Roman" w:cs="Times New Roman"/>
                <w:lang w:val="ru-RU"/>
              </w:rPr>
              <w:t xml:space="preserve"> Содержание</w:t>
            </w:r>
            <w:r w:rsidRPr="00687C23">
              <w:rPr>
                <w:rFonts w:ascii="Times New Roman" w:hAnsi="Times New Roman" w:cs="Times New Roman"/>
              </w:rPr>
              <w:t xml:space="preserve"> сообщения</w:t>
            </w:r>
          </w:p>
        </w:tc>
      </w:tr>
      <w:tr w:rsidR="00687C23" w:rsidRPr="00D61220">
        <w:trPr>
          <w:cantSplit/>
          <w:trHeight w:val="284"/>
        </w:trPr>
        <w:tc>
          <w:tcPr>
            <w:tcW w:w="9640" w:type="dxa"/>
            <w:tcBorders>
              <w:bottom w:val="nil"/>
            </w:tcBorders>
            <w:vAlign w:val="bottom"/>
          </w:tcPr>
          <w:tbl>
            <w:tblPr>
              <w:tblW w:w="97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7"/>
            </w:tblGrid>
            <w:tr w:rsidR="007B0380" w:rsidTr="007B0380">
              <w:trPr>
                <w:trHeight w:val="731"/>
              </w:trPr>
              <w:tc>
                <w:tcPr>
                  <w:tcW w:w="9757" w:type="dxa"/>
                </w:tcPr>
                <w:p w:rsidR="007B0380" w:rsidRDefault="00687C23" w:rsidP="007B03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61220">
                    <w:rPr>
                      <w:snapToGrid w:val="0"/>
                    </w:rPr>
                    <w:t xml:space="preserve"> 2.1. </w:t>
                  </w:r>
                  <w:r w:rsidRPr="00D61220">
                    <w:t xml:space="preserve">Вид, категория </w:t>
                  </w:r>
                  <w:r w:rsidRPr="00E17CF7">
                    <w:t>(тип</w:t>
                  </w:r>
                  <w:r w:rsidRPr="00D61220">
                    <w:t xml:space="preserve">), серия и иные идентификационные признаки эмиссионных ценных бумаг эмитента, </w:t>
                  </w:r>
                  <w:r w:rsidR="007B0380">
                    <w:t>которые были погашены</w:t>
                  </w:r>
                  <w:r w:rsidRPr="00D61220">
                    <w:rPr>
                      <w:noProof/>
                    </w:rPr>
                    <w:t xml:space="preserve">: </w:t>
                  </w:r>
                  <w:r w:rsidRPr="00D61220">
                    <w:rPr>
                      <w:b/>
                      <w:bCs/>
                      <w:i/>
                      <w:iCs/>
                      <w:noProof/>
                    </w:rPr>
                    <w:t>облигации неконвертируемые процентные документарные на предъявителя с обязательным централизованным хранением серии 01 без возможности досрочного погашения, без обеспечения</w:t>
                  </w:r>
                  <w:r w:rsidR="007B0380">
                    <w:rPr>
                      <w:b/>
                      <w:bCs/>
                      <w:i/>
                      <w:iCs/>
                      <w:noProof/>
                    </w:rPr>
                    <w:t>,</w:t>
                  </w:r>
                  <w:r w:rsidR="007B0380">
                    <w:t xml:space="preserve"> </w:t>
                  </w:r>
                  <w:r w:rsidR="007B038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в количестве 2 000 000 (Два миллиона) штук номинальной стоимостью 1 000 (Одна тысяча) рублей каждая общей номинальной стоимостью 2 000 000 000 (Два миллиарда) рублей со сроком погашения в 1 096-й (Одна тысяча девяносто шестой) день с даты начала размещения облигаций выпуска </w:t>
                  </w:r>
                  <w:r w:rsidR="007B0380" w:rsidRPr="00D61220">
                    <w:rPr>
                      <w:b/>
                      <w:bCs/>
                      <w:i/>
                      <w:iCs/>
                      <w:noProof/>
                    </w:rPr>
                    <w:t>(далее также – «Облигации»)</w:t>
                  </w:r>
                  <w:r w:rsidR="007B038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687C23" w:rsidRPr="00D61220" w:rsidRDefault="00687C23" w:rsidP="007B038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7C23" w:rsidRPr="00D61220">
        <w:trPr>
          <w:cantSplit/>
          <w:trHeight w:val="284"/>
        </w:trPr>
        <w:tc>
          <w:tcPr>
            <w:tcW w:w="9640" w:type="dxa"/>
            <w:tcBorders>
              <w:top w:val="nil"/>
              <w:bottom w:val="nil"/>
            </w:tcBorders>
            <w:vAlign w:val="bottom"/>
          </w:tcPr>
          <w:p w:rsidR="00687C23" w:rsidRPr="00D61220" w:rsidRDefault="00687C23" w:rsidP="00E643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 xml:space="preserve"> 2.2. Г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</w:t>
            </w:r>
            <w:hyperlink r:id="rId9" w:history="1">
              <w:r w:rsidRPr="00D61220">
                <w:rPr>
                  <w:rFonts w:ascii="Times New Roman" w:hAnsi="Times New Roman" w:cs="Times New Roman"/>
                  <w:lang w:val="ru-RU"/>
                </w:rPr>
                <w:t>Федеральным законом</w:t>
              </w:r>
            </w:hyperlink>
            <w:r w:rsidRPr="00D61220">
              <w:rPr>
                <w:rFonts w:ascii="Times New Roman" w:hAnsi="Times New Roman" w:cs="Times New Roman"/>
                <w:lang w:val="ru-RU"/>
              </w:rPr>
              <w:t xml:space="preserve"> "О рынке ценных бумаг" выпуск (дополнительный выпуск) эмиссионных ценных бумаг эмитента не подлежит государственной регистрации)</w:t>
            </w:r>
            <w:r w:rsidRPr="00D61220">
              <w:rPr>
                <w:rFonts w:ascii="Times New Roman" w:hAnsi="Times New Roman" w:cs="Times New Roman"/>
                <w:snapToGrid w:val="0"/>
                <w:lang w:val="ru-RU"/>
              </w:rPr>
              <w:t>:</w:t>
            </w:r>
            <w:r w:rsidRPr="00D612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1220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lang w:val="ru-RU"/>
              </w:rPr>
              <w:t>40103407В, 17 февраля 2011 г.</w:t>
            </w:r>
          </w:p>
        </w:tc>
      </w:tr>
      <w:tr w:rsidR="00687C23" w:rsidRPr="00D61220">
        <w:trPr>
          <w:cantSplit/>
          <w:trHeight w:val="284"/>
        </w:trPr>
        <w:tc>
          <w:tcPr>
            <w:tcW w:w="9640" w:type="dxa"/>
            <w:tcBorders>
              <w:top w:val="nil"/>
              <w:bottom w:val="nil"/>
            </w:tcBorders>
            <w:vAlign w:val="bottom"/>
          </w:tcPr>
          <w:tbl>
            <w:tblPr>
              <w:tblW w:w="9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6"/>
            </w:tblGrid>
            <w:tr w:rsidR="00F37A03" w:rsidTr="00F37A03">
              <w:trPr>
                <w:trHeight w:val="1744"/>
              </w:trPr>
              <w:tc>
                <w:tcPr>
                  <w:tcW w:w="9786" w:type="dxa"/>
                </w:tcPr>
                <w:p w:rsidR="00F37A03" w:rsidRDefault="00F37A0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Количество облигаций или иных эмиссионных ценных бумаг эмитента, которые были погашены: 2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000 000 штук. </w:t>
                  </w:r>
                </w:p>
                <w:p w:rsidR="00F37A03" w:rsidRDefault="00F37A0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2.4.Основание для погашения облигаций или иных эмиссионных ценных бумаг эмитента: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в соответствии с Решением о выпуске Облигаций, погашение Облигаций производится в 1096-й (Одна тысяча девяносто шестой) день с даты начала размещения Облигаций. </w:t>
                  </w:r>
                </w:p>
                <w:p w:rsidR="00F37A03" w:rsidRDefault="00F37A03" w:rsidP="00F37A0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2.5 Дата погашения облигаций или иных эмиссионных ценных бумаг эмитента (дата внесения по лицевому счету эмитента записи о погашении именных облигаций или иных именных эмиссионных ценных бумаг эмитента; дата внесения по счету депо эмитента записи о погашении документарных облигаций эмитента на предъявителя с обязательным централизованным хранением; дата погашения сертификата (сертификатов) документарных облигаций без обязательного централизованного хранения):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31.03.2014.</w:t>
                  </w:r>
                </w:p>
              </w:tc>
            </w:tr>
          </w:tbl>
          <w:p w:rsidR="00687C23" w:rsidRPr="00F37A03" w:rsidRDefault="00687C23" w:rsidP="00B83411">
            <w:pPr>
              <w:ind w:left="57" w:right="57"/>
              <w:jc w:val="both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F072E5" w:rsidRPr="00F072E5" w:rsidRDefault="00F072E5" w:rsidP="00687C23">
      <w:pPr>
        <w:rPr>
          <w:rFonts w:ascii="Times New Roman" w:hAnsi="Times New Roman" w:cs="Times New Roman"/>
          <w:lang w:val="ru-RU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32"/>
        <w:gridCol w:w="198"/>
        <w:gridCol w:w="1410"/>
        <w:gridCol w:w="415"/>
        <w:gridCol w:w="297"/>
        <w:gridCol w:w="30"/>
        <w:gridCol w:w="2605"/>
        <w:gridCol w:w="142"/>
        <w:gridCol w:w="2693"/>
      </w:tblGrid>
      <w:tr w:rsidR="00687C23" w:rsidRPr="00687C23">
        <w:trPr>
          <w:cantSplit/>
          <w:trHeight w:val="284"/>
        </w:trPr>
        <w:tc>
          <w:tcPr>
            <w:tcW w:w="9640" w:type="dxa"/>
            <w:gridSpan w:val="10"/>
            <w:vAlign w:val="center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7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7BB" w:rsidRDefault="00687C23" w:rsidP="003747BB">
            <w:pPr>
              <w:ind w:left="5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220">
              <w:rPr>
                <w:rFonts w:ascii="Times New Roman" w:hAnsi="Times New Roman" w:cs="Times New Roman"/>
                <w:lang w:val="ru-RU"/>
              </w:rPr>
              <w:t xml:space="preserve">3.1. </w:t>
            </w:r>
            <w:r w:rsidRPr="00D6122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Председатель Правления </w:t>
            </w:r>
          </w:p>
          <w:p w:rsidR="00687C23" w:rsidRPr="00D61220" w:rsidRDefault="00687C23" w:rsidP="003747BB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D61220">
              <w:rPr>
                <w:rFonts w:ascii="Times New Roman" w:hAnsi="Times New Roman" w:cs="Times New Roman"/>
                <w:b/>
                <w:bCs/>
                <w:lang w:val="ru-RU"/>
              </w:rPr>
              <w:t>«БНП ПАРИБА Банк» Закрытое акционерное общество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Default="00687C23" w:rsidP="003747B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879B6" w:rsidRPr="000879B6" w:rsidRDefault="000879B6" w:rsidP="003747B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23" w:rsidRPr="00D61220" w:rsidRDefault="00687C23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C23" w:rsidRPr="003747BB" w:rsidRDefault="00687C23" w:rsidP="003747B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747BB">
              <w:rPr>
                <w:rFonts w:ascii="Times New Roman" w:hAnsi="Times New Roman" w:cs="Times New Roman"/>
                <w:b/>
                <w:bCs/>
              </w:rPr>
              <w:t>Ф</w:t>
            </w:r>
            <w:r w:rsidR="008266F1">
              <w:rPr>
                <w:rFonts w:ascii="Times New Roman" w:hAnsi="Times New Roman" w:cs="Times New Roman"/>
                <w:b/>
                <w:bCs/>
                <w:lang w:val="ru-RU"/>
              </w:rPr>
              <w:t>рансуа Мишель Робер</w:t>
            </w:r>
            <w:r w:rsidR="003747BB" w:rsidRPr="003747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747BB">
              <w:rPr>
                <w:rFonts w:ascii="Times New Roman" w:hAnsi="Times New Roman" w:cs="Times New Roman"/>
                <w:b/>
                <w:bCs/>
              </w:rPr>
              <w:t>Рэнье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tabs>
                <w:tab w:val="right" w:pos="1091"/>
              </w:tabs>
              <w:jc w:val="center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3.2. Дата</w:t>
            </w:r>
            <w:r w:rsidRPr="00687C23">
              <w:rPr>
                <w:rFonts w:ascii="Times New Roman" w:hAnsi="Times New Roman" w:cs="Times New Roman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D61220" w:rsidRDefault="00F37A03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CC445F" w:rsidRDefault="00F37A03" w:rsidP="00E643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23" w:rsidRPr="00687C23" w:rsidRDefault="00687C23" w:rsidP="00E643A8">
            <w:pPr>
              <w:jc w:val="right"/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23" w:rsidRPr="00F37A03" w:rsidRDefault="00CC445F" w:rsidP="00F37A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7A0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pStyle w:val="Header"/>
              <w:tabs>
                <w:tab w:val="left" w:pos="1046"/>
              </w:tabs>
              <w:rPr>
                <w:rFonts w:ascii="Times New Roman" w:hAnsi="Times New Roman" w:cs="Times New Roman"/>
              </w:rPr>
            </w:pPr>
            <w:r w:rsidRPr="00687C23">
              <w:rPr>
                <w:rFonts w:ascii="Times New Roman" w:hAnsi="Times New Roman" w:cs="Times New Roman"/>
              </w:rPr>
              <w:t xml:space="preserve"> г.</w:t>
            </w:r>
            <w:r w:rsidRPr="00687C23">
              <w:rPr>
                <w:rFonts w:ascii="Times New Roman" w:hAnsi="Times New Roman" w:cs="Times New Roman"/>
              </w:rPr>
              <w:tab/>
              <w:t>М. П.</w:t>
            </w:r>
          </w:p>
        </w:tc>
      </w:tr>
      <w:tr w:rsidR="00687C23" w:rsidRPr="0068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C23" w:rsidRPr="00687C23" w:rsidRDefault="00687C23" w:rsidP="00E64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C23" w:rsidRPr="00687C23" w:rsidRDefault="00687C23" w:rsidP="00687C23">
      <w:pPr>
        <w:rPr>
          <w:rFonts w:ascii="Times New Roman" w:hAnsi="Times New Roman" w:cs="Times New Roman"/>
        </w:rPr>
      </w:pPr>
    </w:p>
    <w:p w:rsidR="00687C23" w:rsidRDefault="00687C23" w:rsidP="00490F50">
      <w:pPr>
        <w:ind w:left="6480" w:firstLine="720"/>
        <w:jc w:val="center"/>
        <w:rPr>
          <w:rStyle w:val="FontStyle31"/>
          <w:w w:val="0"/>
          <w:sz w:val="22"/>
          <w:szCs w:val="22"/>
          <w:lang w:val="ru-RU"/>
        </w:rPr>
      </w:pPr>
    </w:p>
    <w:sectPr w:rsidR="00687C23" w:rsidSect="00087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50" w:bottom="993" w:left="1701" w:header="720" w:footer="1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3A" w:rsidRDefault="007800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03A" w:rsidRDefault="007800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B360C">
      <w:rPr>
        <w:noProof/>
      </w:rPr>
      <w:t>1</w:t>
    </w:r>
    <w:r>
      <w:fldChar w:fldCharType="end"/>
    </w:r>
  </w:p>
  <w:p w:rsidR="00013A64" w:rsidRDefault="00013A64" w:rsidP="00013A64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3A" w:rsidRDefault="007800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03A" w:rsidRDefault="007800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6" w:rsidRDefault="000879B6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efaultTableStyle w:val="TableTheme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621"/>
    <w:rsid w:val="00013A64"/>
    <w:rsid w:val="00054A0E"/>
    <w:rsid w:val="00081C7F"/>
    <w:rsid w:val="000879B6"/>
    <w:rsid w:val="000C6A7C"/>
    <w:rsid w:val="001177A5"/>
    <w:rsid w:val="00121340"/>
    <w:rsid w:val="00142964"/>
    <w:rsid w:val="00173390"/>
    <w:rsid w:val="00194E2B"/>
    <w:rsid w:val="001B0E04"/>
    <w:rsid w:val="001C2547"/>
    <w:rsid w:val="001D1C15"/>
    <w:rsid w:val="001D7627"/>
    <w:rsid w:val="001E5984"/>
    <w:rsid w:val="002143DA"/>
    <w:rsid w:val="00223582"/>
    <w:rsid w:val="0025261D"/>
    <w:rsid w:val="002978B2"/>
    <w:rsid w:val="002B7987"/>
    <w:rsid w:val="00332D0E"/>
    <w:rsid w:val="003747BB"/>
    <w:rsid w:val="003E148D"/>
    <w:rsid w:val="00445265"/>
    <w:rsid w:val="00483243"/>
    <w:rsid w:val="00490F50"/>
    <w:rsid w:val="004B2196"/>
    <w:rsid w:val="00546CE4"/>
    <w:rsid w:val="00547A87"/>
    <w:rsid w:val="00547C75"/>
    <w:rsid w:val="00590480"/>
    <w:rsid w:val="005D1553"/>
    <w:rsid w:val="0064127E"/>
    <w:rsid w:val="0068460F"/>
    <w:rsid w:val="00687C23"/>
    <w:rsid w:val="006B1B1E"/>
    <w:rsid w:val="006C27A0"/>
    <w:rsid w:val="006D2ECA"/>
    <w:rsid w:val="006D738A"/>
    <w:rsid w:val="006E53F6"/>
    <w:rsid w:val="006E7FFB"/>
    <w:rsid w:val="0078003A"/>
    <w:rsid w:val="00792E0C"/>
    <w:rsid w:val="007B0380"/>
    <w:rsid w:val="007E4C5D"/>
    <w:rsid w:val="007E77BB"/>
    <w:rsid w:val="00816CAB"/>
    <w:rsid w:val="00822164"/>
    <w:rsid w:val="008266F1"/>
    <w:rsid w:val="00866E13"/>
    <w:rsid w:val="008A10A7"/>
    <w:rsid w:val="008B15DB"/>
    <w:rsid w:val="008E5621"/>
    <w:rsid w:val="00921D77"/>
    <w:rsid w:val="00922402"/>
    <w:rsid w:val="00924F8A"/>
    <w:rsid w:val="00950082"/>
    <w:rsid w:val="00951E61"/>
    <w:rsid w:val="00986FFE"/>
    <w:rsid w:val="00995FF0"/>
    <w:rsid w:val="009A3C3F"/>
    <w:rsid w:val="009C2197"/>
    <w:rsid w:val="009F5341"/>
    <w:rsid w:val="00A15CB3"/>
    <w:rsid w:val="00A52137"/>
    <w:rsid w:val="00A54ACB"/>
    <w:rsid w:val="00A5767B"/>
    <w:rsid w:val="00A74408"/>
    <w:rsid w:val="00A765AE"/>
    <w:rsid w:val="00A86398"/>
    <w:rsid w:val="00AB173B"/>
    <w:rsid w:val="00AB210F"/>
    <w:rsid w:val="00AD41BC"/>
    <w:rsid w:val="00B12CEB"/>
    <w:rsid w:val="00B83411"/>
    <w:rsid w:val="00BB48E0"/>
    <w:rsid w:val="00BF42CB"/>
    <w:rsid w:val="00C427C8"/>
    <w:rsid w:val="00CB360C"/>
    <w:rsid w:val="00CC445F"/>
    <w:rsid w:val="00CD43E2"/>
    <w:rsid w:val="00CD64CB"/>
    <w:rsid w:val="00D55BE5"/>
    <w:rsid w:val="00D6099F"/>
    <w:rsid w:val="00D61220"/>
    <w:rsid w:val="00E17CF7"/>
    <w:rsid w:val="00E643A8"/>
    <w:rsid w:val="00EA10BE"/>
    <w:rsid w:val="00ED53AB"/>
    <w:rsid w:val="00EE30CA"/>
    <w:rsid w:val="00EF0A68"/>
    <w:rsid w:val="00F02979"/>
    <w:rsid w:val="00F072E5"/>
    <w:rsid w:val="00F37A03"/>
    <w:rsid w:val="00F41636"/>
    <w:rsid w:val="00F45B61"/>
    <w:rsid w:val="00F8757B"/>
    <w:rsid w:val="00F93DDA"/>
    <w:rsid w:val="00FC2F9F"/>
    <w:rsid w:val="00FC62D1"/>
    <w:rsid w:val="00FE648C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96"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96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196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196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2196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B2196"/>
    <w:pPr>
      <w:keepNext/>
      <w:keepLines/>
      <w:tabs>
        <w:tab w:val="left" w:pos="567"/>
      </w:tabs>
      <w:spacing w:before="120" w:after="80"/>
      <w:outlineLvl w:val="4"/>
    </w:pPr>
    <w:rPr>
      <w:kern w:val="28"/>
      <w:sz w:val="20"/>
      <w:szCs w:val="20"/>
      <w:lang w:val="fr-FR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2196"/>
    <w:pPr>
      <w:spacing w:before="240" w:after="60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2547"/>
    <w:pPr>
      <w:keepNext/>
      <w:keepLines/>
      <w:tabs>
        <w:tab w:val="left" w:pos="567"/>
      </w:tabs>
      <w:spacing w:before="80" w:after="60"/>
      <w:outlineLvl w:val="6"/>
    </w:pPr>
    <w:rPr>
      <w:rFonts w:ascii="Arial" w:hAnsi="Arial" w:cs="Arial"/>
      <w:b/>
      <w:bCs/>
      <w:kern w:val="28"/>
      <w:lang w:val="fr-FR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2547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eastAsia="Times New Roman" w:hAnsi="Cambria" w:cs="Cambria"/>
      <w:b/>
      <w:bCs/>
      <w:color w:val="000000"/>
      <w:kern w:val="32"/>
      <w:sz w:val="32"/>
      <w:szCs w:val="32"/>
      <w:lang w:val="nl-NL" w:eastAsia="ja-JP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Cambria"/>
      <w:b/>
      <w:bCs/>
      <w:i/>
      <w:iCs/>
      <w:color w:val="000000"/>
      <w:sz w:val="28"/>
      <w:szCs w:val="28"/>
      <w:lang w:val="nl-NL" w:eastAsia="ja-JP"/>
    </w:rPr>
  </w:style>
  <w:style w:type="character" w:customStyle="1" w:styleId="Heading3Char">
    <w:name w:val="Heading 3 Char"/>
    <w:link w:val="Heading3"/>
    <w:uiPriority w:val="99"/>
    <w:semiHidden/>
    <w:rPr>
      <w:rFonts w:ascii="Cambria" w:eastAsia="Times New Roman" w:hAnsi="Cambria" w:cs="Cambria"/>
      <w:b/>
      <w:bCs/>
      <w:color w:val="000000"/>
      <w:sz w:val="26"/>
      <w:szCs w:val="26"/>
      <w:lang w:val="nl-NL" w:eastAsia="ja-JP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Calibri"/>
      <w:b/>
      <w:bCs/>
      <w:color w:val="000000"/>
      <w:sz w:val="28"/>
      <w:szCs w:val="28"/>
      <w:lang w:val="nl-NL" w:eastAsia="ja-JP"/>
    </w:rPr>
  </w:style>
  <w:style w:type="character" w:customStyle="1" w:styleId="Heading5Char">
    <w:name w:val="Heading 5 Char"/>
    <w:link w:val="Heading5"/>
    <w:uiPriority w:val="99"/>
    <w:semiHidden/>
    <w:rPr>
      <w:rFonts w:ascii="Calibri" w:eastAsia="Times New Roman" w:hAnsi="Calibri" w:cs="Calibri"/>
      <w:b/>
      <w:bCs/>
      <w:i/>
      <w:iCs/>
      <w:color w:val="000000"/>
      <w:sz w:val="26"/>
      <w:szCs w:val="26"/>
      <w:lang w:val="nl-NL" w:eastAsia="ja-JP"/>
    </w:rPr>
  </w:style>
  <w:style w:type="character" w:customStyle="1" w:styleId="Heading6Char">
    <w:name w:val="Heading 6 Char"/>
    <w:link w:val="Heading6"/>
    <w:uiPriority w:val="99"/>
    <w:semiHidden/>
    <w:rPr>
      <w:rFonts w:ascii="Calibri" w:eastAsia="Times New Roman" w:hAnsi="Calibri" w:cs="Calibri"/>
      <w:b/>
      <w:bCs/>
      <w:color w:val="000000"/>
      <w:lang w:val="nl-NL" w:eastAsia="ja-JP"/>
    </w:rPr>
  </w:style>
  <w:style w:type="character" w:customStyle="1" w:styleId="Heading7Char">
    <w:name w:val="Heading 7 Char"/>
    <w:link w:val="Heading7"/>
    <w:uiPriority w:val="99"/>
    <w:semiHidden/>
    <w:rPr>
      <w:rFonts w:ascii="Calibri" w:eastAsia="Times New Roman" w:hAnsi="Calibri" w:cs="Calibri"/>
      <w:color w:val="000000"/>
      <w:sz w:val="24"/>
      <w:szCs w:val="24"/>
      <w:lang w:val="nl-NL" w:eastAsia="ja-JP"/>
    </w:rPr>
  </w:style>
  <w:style w:type="character" w:customStyle="1" w:styleId="Heading8Char">
    <w:name w:val="Heading 8 Char"/>
    <w:link w:val="Heading8"/>
    <w:uiPriority w:val="99"/>
    <w:semiHidden/>
    <w:rPr>
      <w:rFonts w:ascii="Calibri" w:eastAsia="Times New Roman" w:hAnsi="Calibri" w:cs="Calibri"/>
      <w:i/>
      <w:iCs/>
      <w:color w:val="000000"/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rsid w:val="008E5621"/>
    <w:pPr>
      <w:tabs>
        <w:tab w:val="left" w:pos="567"/>
        <w:tab w:val="center" w:pos="4536"/>
        <w:tab w:val="right" w:pos="9072"/>
      </w:tabs>
    </w:pPr>
    <w:rPr>
      <w:rFonts w:ascii="Arial" w:hAnsi="Arial" w:cs="Arial"/>
      <w:lang w:val="fr-FR" w:eastAsia="ru-RU"/>
    </w:rPr>
  </w:style>
  <w:style w:type="character" w:customStyle="1" w:styleId="FooterChar">
    <w:name w:val="Footer Char"/>
    <w:link w:val="Footer"/>
    <w:uiPriority w:val="99"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BodyText">
    <w:name w:val="Body Text"/>
    <w:basedOn w:val="Normal"/>
    <w:link w:val="BodyTextChar"/>
    <w:uiPriority w:val="99"/>
    <w:rsid w:val="001C2547"/>
    <w:pPr>
      <w:tabs>
        <w:tab w:val="center" w:pos="-426"/>
      </w:tabs>
      <w:ind w:right="115"/>
      <w:jc w:val="both"/>
    </w:pPr>
    <w:rPr>
      <w:rFonts w:ascii="Arial Narrow" w:hAnsi="Arial Narrow" w:cs="Arial Narrow"/>
      <w:lang w:val="fr-FR" w:eastAsia="ru-RU"/>
    </w:rPr>
  </w:style>
  <w:style w:type="character" w:customStyle="1" w:styleId="BodyTextChar">
    <w:name w:val="Body Text Char"/>
    <w:link w:val="BodyText"/>
    <w:uiPriority w:val="99"/>
    <w:semiHidden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Header">
    <w:name w:val="header"/>
    <w:basedOn w:val="Normal"/>
    <w:link w:val="HeaderChar"/>
    <w:uiPriority w:val="99"/>
    <w:rsid w:val="00013A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rebuchet MS" w:hAnsi="Trebuchet MS" w:cs="Trebuchet MS"/>
      <w:color w:val="000000"/>
      <w:sz w:val="24"/>
      <w:szCs w:val="24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13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  <w:lang w:val="nl-NL" w:eastAsia="ja-JP"/>
    </w:rPr>
  </w:style>
  <w:style w:type="table" w:styleId="TableTheme">
    <w:name w:val="Table Theme"/>
    <w:basedOn w:val="TableNormal"/>
    <w:uiPriority w:val="99"/>
    <w:rsid w:val="004B2196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B2196"/>
    <w:rPr>
      <w:color w:val="6666CC"/>
      <w:u w:val="single"/>
    </w:rPr>
  </w:style>
  <w:style w:type="character" w:styleId="FollowedHyperlink">
    <w:name w:val="FollowedHyperlink"/>
    <w:uiPriority w:val="99"/>
    <w:rsid w:val="004B2196"/>
    <w:rPr>
      <w:color w:val="999999"/>
      <w:u w:val="single"/>
    </w:rPr>
  </w:style>
  <w:style w:type="paragraph" w:customStyle="1" w:styleId="a">
    <w:name w:val="Знак"/>
    <w:basedOn w:val="Normal"/>
    <w:uiPriority w:val="99"/>
    <w:rsid w:val="000C6A7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GB" w:eastAsia="en-US"/>
    </w:rPr>
  </w:style>
  <w:style w:type="character" w:customStyle="1" w:styleId="FontStyle35">
    <w:name w:val="Font Style35"/>
    <w:uiPriority w:val="99"/>
    <w:rsid w:val="00FF38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FF381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B03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497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646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Market Back-office</vt:lpstr>
    </vt:vector>
  </TitlesOfParts>
  <Company>BNP Paribas</Company>
  <LinksUpToDate>false</LinksUpToDate>
  <CharactersWithSpaces>2959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garantf1://10006464.0/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http://www.e-disclosure.ru/portal/company.aspx?id=2497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Market Back-office</dc:title>
  <dc:creator>VieruA</dc:creator>
  <cp:lastModifiedBy>Dmitry BORSCHEVSKY</cp:lastModifiedBy>
  <cp:revision>2</cp:revision>
  <cp:lastPrinted>2014-03-31T06:10:00Z</cp:lastPrinted>
  <dcterms:created xsi:type="dcterms:W3CDTF">2014-03-31T14:17:00Z</dcterms:created>
  <dcterms:modified xsi:type="dcterms:W3CDTF">2014-03-31T14:17:00Z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Profile 011</vt:lpwstr>
  </property>
</Properties>
</file>