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0F" w:rsidRDefault="000A4B0F" w:rsidP="000A4B0F">
      <w:pPr>
        <w:pStyle w:val="Heading1"/>
        <w:numPr>
          <w:ilvl w:val="0"/>
          <w:numId w:val="0"/>
        </w:numPr>
        <w:ind w:left="602"/>
        <w:jc w:val="right"/>
        <w:rPr>
          <w:rFonts w:ascii="Arial Narrow" w:hAnsi="Arial Narrow"/>
          <w:b w:val="0"/>
          <w:sz w:val="22"/>
          <w:lang w:val="ru-RU"/>
        </w:rPr>
      </w:pPr>
      <w:r w:rsidRPr="000A4B0F">
        <w:rPr>
          <w:rFonts w:ascii="Arial Narrow" w:hAnsi="Arial Narrow"/>
          <w:b w:val="0"/>
          <w:sz w:val="22"/>
          <w:lang w:val="ru-RU"/>
        </w:rPr>
        <w:t>Приложение</w:t>
      </w:r>
      <w:r>
        <w:rPr>
          <w:rFonts w:ascii="Arial Narrow" w:hAnsi="Arial Narrow"/>
          <w:b w:val="0"/>
          <w:sz w:val="22"/>
          <w:lang w:val="ru-RU"/>
        </w:rPr>
        <w:t xml:space="preserve"> </w:t>
      </w:r>
      <w:r w:rsidRPr="000A4B0F">
        <w:rPr>
          <w:rFonts w:ascii="Arial Narrow" w:hAnsi="Arial Narrow"/>
          <w:b w:val="0"/>
          <w:sz w:val="22"/>
          <w:lang w:val="ru-RU"/>
        </w:rPr>
        <w:t>2</w:t>
      </w:r>
      <w:r>
        <w:rPr>
          <w:rFonts w:ascii="Arial Narrow" w:hAnsi="Arial Narrow"/>
          <w:b w:val="0"/>
          <w:sz w:val="22"/>
          <w:lang w:val="ru-RU"/>
        </w:rPr>
        <w:t xml:space="preserve"> </w:t>
      </w:r>
    </w:p>
    <w:p w:rsidR="000A4B0F" w:rsidRDefault="000A4B0F" w:rsidP="000A4B0F">
      <w:pPr>
        <w:pStyle w:val="BodyText"/>
        <w:jc w:val="right"/>
      </w:pPr>
      <w:r>
        <w:t xml:space="preserve">к процедуре №  Р-285 </w:t>
      </w:r>
    </w:p>
    <w:p w:rsidR="000A4B0F" w:rsidRPr="000A4B0F" w:rsidRDefault="000A4B0F" w:rsidP="000A4B0F">
      <w:pPr>
        <w:pStyle w:val="BodyText"/>
        <w:jc w:val="right"/>
      </w:pPr>
      <w:r>
        <w:t>от 12 января 2015 г.</w:t>
      </w:r>
    </w:p>
    <w:p w:rsidR="000A4B0F" w:rsidRDefault="000A4B0F" w:rsidP="000A4B0F">
      <w:pPr>
        <w:pStyle w:val="Heading1"/>
        <w:numPr>
          <w:ilvl w:val="0"/>
          <w:numId w:val="0"/>
        </w:numPr>
        <w:ind w:left="602"/>
        <w:jc w:val="center"/>
        <w:rPr>
          <w:lang w:val="ru-RU"/>
        </w:rPr>
      </w:pPr>
    </w:p>
    <w:p w:rsidR="000A4B0F" w:rsidRPr="000A4B0F" w:rsidRDefault="000A4B0F" w:rsidP="000A4B0F">
      <w:pPr>
        <w:pStyle w:val="BodyText"/>
      </w:pPr>
    </w:p>
    <w:p w:rsidR="000A4B0F" w:rsidRDefault="000A4B0F" w:rsidP="000A4B0F">
      <w:pPr>
        <w:pStyle w:val="Heading1"/>
        <w:numPr>
          <w:ilvl w:val="0"/>
          <w:numId w:val="0"/>
        </w:numPr>
        <w:ind w:left="602"/>
        <w:jc w:val="center"/>
      </w:pPr>
      <w:r>
        <w:t>КРИТЕРИИ ОТНЕСЕНИЯ КЛИЕНТОВ К КАТЕГОРИИ ИНОСТРАННЫХ НАЛОГОПЛАТЕЛЬЩИКОВ</w:t>
      </w:r>
    </w:p>
    <w:p w:rsidR="000A4B0F" w:rsidRPr="00445773" w:rsidRDefault="000A4B0F" w:rsidP="000A4B0F">
      <w:pPr>
        <w:pStyle w:val="BodyText"/>
        <w:jc w:val="both"/>
      </w:pPr>
    </w:p>
    <w:p w:rsidR="000A4B0F" w:rsidRPr="0002121F" w:rsidRDefault="000A4B0F" w:rsidP="000A4B0F">
      <w:pPr>
        <w:pStyle w:val="BodyText"/>
        <w:jc w:val="both"/>
      </w:pPr>
      <w:proofErr w:type="gramStart"/>
      <w:r>
        <w:t>Настоящее приложение разработано «БНП ПАРИБА</w:t>
      </w:r>
      <w:r w:rsidR="00C302BA">
        <w:t xml:space="preserve"> БАНКОМ</w:t>
      </w:r>
      <w:r>
        <w:t xml:space="preserve">» </w:t>
      </w:r>
      <w:bookmarkStart w:id="0" w:name="_GoBack"/>
      <w:bookmarkEnd w:id="0"/>
      <w:r>
        <w:t>АО (далее – Банк)</w:t>
      </w:r>
      <w:r w:rsidRPr="00445773">
        <w:t xml:space="preserve"> </w:t>
      </w:r>
      <w:r>
        <w:t>в целях выполнения требования пункта 3 статьи 2 Федерального закона от 28 июня 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(далее – Закон)</w:t>
      </w:r>
      <w:r w:rsidR="00746B38">
        <w:t xml:space="preserve">, </w:t>
      </w:r>
      <w:r>
        <w:t>о размещении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официальном сайте организации финансового рынка в информационно-телекоммуникационной сети «Интернет» критериев отнесения клиента к категории иностранного налогоплательщика и способов получения необходимой информации, а также в целях исполнения Закона США «О налогообложении иностранных счетов» (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r>
        <w:rPr>
          <w:lang w:val="en-US"/>
        </w:rPr>
        <w:t>Compliance</w:t>
      </w:r>
      <w:r w:rsidRPr="00445773">
        <w:t xml:space="preserve"> </w:t>
      </w:r>
      <w:proofErr w:type="spellStart"/>
      <w:r>
        <w:t>Act</w:t>
      </w:r>
      <w:proofErr w:type="spellEnd"/>
      <w:r>
        <w:t>, далее - FATCA).</w:t>
      </w:r>
      <w:proofErr w:type="gramEnd"/>
    </w:p>
    <w:p w:rsidR="000A4B0F" w:rsidRDefault="000A4B0F" w:rsidP="000A4B0F">
      <w:pPr>
        <w:pStyle w:val="BodyText"/>
      </w:pPr>
    </w:p>
    <w:p w:rsidR="000A4B0F" w:rsidRPr="00445773" w:rsidRDefault="000A4B0F" w:rsidP="000A4B0F">
      <w:pPr>
        <w:pStyle w:val="BodyText"/>
        <w:rPr>
          <w:rStyle w:val="IntenseReference"/>
          <w:color w:val="auto"/>
        </w:rPr>
      </w:pPr>
      <w:r w:rsidRPr="00445773">
        <w:rPr>
          <w:rStyle w:val="IntenseReference"/>
          <w:color w:val="auto"/>
        </w:rPr>
        <w:t>ОБЩИЕ ПРИНЦИПЫ</w:t>
      </w:r>
    </w:p>
    <w:p w:rsidR="000A4B0F" w:rsidRPr="00445773" w:rsidRDefault="000A4B0F" w:rsidP="000A4B0F">
      <w:pPr>
        <w:pStyle w:val="BodyText"/>
        <w:jc w:val="both"/>
      </w:pPr>
    </w:p>
    <w:p w:rsidR="000A4B0F" w:rsidRDefault="000A4B0F" w:rsidP="000A4B0F">
      <w:pPr>
        <w:pStyle w:val="BodyText"/>
        <w:jc w:val="both"/>
      </w:pPr>
      <w:r>
        <w:t>Статья 1 Закона устанавливает особенности осуществления организацией финансового рынка финансовых операций на территории Российской Федерации с лицами, на которые распространяется законодательство иностранного государства  о налогообложении иностранных счетов, действующее на день вступления в силу Закона.</w:t>
      </w:r>
    </w:p>
    <w:p w:rsidR="000A4B0F" w:rsidRDefault="000A4B0F" w:rsidP="000A4B0F">
      <w:pPr>
        <w:pStyle w:val="BodyText"/>
        <w:jc w:val="both"/>
      </w:pPr>
      <w:r>
        <w:t xml:space="preserve">Критерии отнесения клиента Банка к категории иностранного налогоплательщика и способов получения необходимой информации в целях выполнения требования пункта 3 статьи 2 Закона, изложенные в данном Приложении, разработаны с учетом требований </w:t>
      </w:r>
      <w:r w:rsidRPr="00445773">
        <w:t xml:space="preserve">FATCA. </w:t>
      </w:r>
    </w:p>
    <w:p w:rsidR="000A4B0F" w:rsidRDefault="000A4B0F" w:rsidP="000A4B0F">
      <w:pPr>
        <w:pStyle w:val="BodyText"/>
        <w:jc w:val="both"/>
      </w:pPr>
      <w:r>
        <w:t>Критерии отнесения клиента Банка к категории иностранного налогоплательщика и способов получения необходимой информации, требуемые для исполнения законов иных иностранных государств о налогообложении иностранных счетов, будут изложены дополнительно по мере их вступления в силу.</w:t>
      </w:r>
    </w:p>
    <w:p w:rsidR="000A4B0F" w:rsidRPr="00F60B35" w:rsidRDefault="000A4B0F" w:rsidP="000A4B0F">
      <w:pPr>
        <w:pStyle w:val="BodyText"/>
        <w:jc w:val="both"/>
      </w:pPr>
    </w:p>
    <w:p w:rsidR="000A4B0F" w:rsidRDefault="000A4B0F" w:rsidP="000A4B0F">
      <w:pPr>
        <w:pStyle w:val="BodyText"/>
        <w:jc w:val="both"/>
      </w:pPr>
      <w:r>
        <w:t>Банк не осуществляет сбор и не передает информацию для целей FATCA о клиентах физических лицах, гражданах Российской Федерации, за исключением лиц:</w:t>
      </w:r>
    </w:p>
    <w:p w:rsidR="000A4B0F" w:rsidRDefault="000A4B0F" w:rsidP="000A4B0F">
      <w:pPr>
        <w:pStyle w:val="BodyText"/>
        <w:jc w:val="both"/>
      </w:pPr>
      <w:r>
        <w:t>•</w:t>
      </w:r>
      <w:r>
        <w:tab/>
      </w:r>
      <w:proofErr w:type="gramStart"/>
      <w:r>
        <w:t>имеющих</w:t>
      </w:r>
      <w:proofErr w:type="gramEnd"/>
      <w:r>
        <w:t xml:space="preserve"> одновременно с гражданством Российской Федерации гражданство иностранного государства (за исключением гражданства государства - члена Таможенного союза);</w:t>
      </w:r>
    </w:p>
    <w:p w:rsidR="000A4B0F" w:rsidRDefault="000A4B0F" w:rsidP="000A4B0F">
      <w:pPr>
        <w:pStyle w:val="BodyText"/>
        <w:jc w:val="both"/>
      </w:pPr>
      <w:r>
        <w:t>•</w:t>
      </w:r>
      <w:r>
        <w:tab/>
      </w:r>
      <w:proofErr w:type="gramStart"/>
      <w:r>
        <w:t>имеющих</w:t>
      </w:r>
      <w:proofErr w:type="gramEnd"/>
      <w:r>
        <w:t xml:space="preserve"> вид на жительство в иностранном государстве.</w:t>
      </w:r>
    </w:p>
    <w:p w:rsidR="000A4B0F" w:rsidRDefault="000A4B0F" w:rsidP="000A4B0F">
      <w:pPr>
        <w:pStyle w:val="BodyText"/>
        <w:jc w:val="both"/>
      </w:pPr>
      <w:proofErr w:type="gramStart"/>
      <w:r>
        <w:t>Банк не осуществляет сбор и не передает информацию для целей FATCA о клиентах юридических лицах, созданных в соответствии с законодательством Российской Федерации, более 90 процентов акций (долей) уставного капитала которых прямо или косвенно контролируются Российской Федерацией и (или) гражданами Российской Федерации, в том числе имеющими одновременно с гражданством Российской Федерации гражданство государства - члена Таможенного союза (за исключением лиц, имеющих одновременно</w:t>
      </w:r>
      <w:proofErr w:type="gramEnd"/>
      <w:r>
        <w:t xml:space="preserve"> с гражданством Российской Федерации гражданство иностранного государства (за </w:t>
      </w:r>
      <w:r>
        <w:lastRenderedPageBreak/>
        <w:t xml:space="preserve">исключением гражданства государства - члена Таможенного союза) или </w:t>
      </w:r>
      <w:proofErr w:type="gramStart"/>
      <w:r>
        <w:t>имеющих</w:t>
      </w:r>
      <w:proofErr w:type="gramEnd"/>
      <w:r>
        <w:t xml:space="preserve"> вид на жительство в иностранном государстве).</w:t>
      </w:r>
    </w:p>
    <w:p w:rsidR="000A4B0F" w:rsidRDefault="000A4B0F" w:rsidP="000A4B0F">
      <w:pPr>
        <w:pStyle w:val="BodyText"/>
        <w:jc w:val="both"/>
      </w:pPr>
      <w:r>
        <w:t>Банк осуществляет передачу сведений, полученных в целях FATCA, в налоговый орган США (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(IRS), далее - НС США), а также в уполномоченные органы Российской федерации (в </w:t>
      </w:r>
      <w:proofErr w:type="spellStart"/>
      <w:r>
        <w:t>т.ч</w:t>
      </w:r>
      <w:proofErr w:type="spellEnd"/>
      <w:r>
        <w:t>. Центральный Банк Российской Федерации, Федеральная служба по финансовому мониторингу, Федеральная налоговая служба) только с письменного согласия клиента на передачу указанных сведений.</w:t>
      </w:r>
    </w:p>
    <w:p w:rsidR="000A4B0F" w:rsidRDefault="000A4B0F" w:rsidP="000A4B0F">
      <w:pPr>
        <w:pStyle w:val="BodyText"/>
        <w:jc w:val="both"/>
      </w:pPr>
      <w:r>
        <w:t>Банк гарантирует конфиденциальность всех сведений, полученных о клиентах в целях FATCA.</w:t>
      </w:r>
    </w:p>
    <w:p w:rsidR="000A4B0F" w:rsidRDefault="000A4B0F" w:rsidP="000A4B0F">
      <w:pPr>
        <w:pStyle w:val="BodyText"/>
        <w:rPr>
          <w:rStyle w:val="IntenseReference"/>
        </w:rPr>
      </w:pPr>
    </w:p>
    <w:p w:rsidR="000A4B0F" w:rsidRPr="00445773" w:rsidRDefault="000A4B0F" w:rsidP="000A4B0F">
      <w:pPr>
        <w:pStyle w:val="BodyText"/>
        <w:rPr>
          <w:rStyle w:val="IntenseReference"/>
          <w:color w:val="auto"/>
        </w:rPr>
      </w:pPr>
      <w:r w:rsidRPr="00445773">
        <w:rPr>
          <w:rStyle w:val="IntenseReference"/>
          <w:color w:val="auto"/>
        </w:rPr>
        <w:t>КРИТЕРИИ ОТНЕСЕНИЯ КЛИЕНТОВ К КАТЕГОРИИ НАЛОГОПЛАТЕЛЬЩИКОВ США</w:t>
      </w:r>
    </w:p>
    <w:p w:rsidR="000A4B0F" w:rsidRPr="00445773" w:rsidRDefault="000A4B0F" w:rsidP="000A4B0F">
      <w:pPr>
        <w:pStyle w:val="BodyText"/>
        <w:jc w:val="both"/>
      </w:pPr>
      <w:r>
        <w:t>Банк использует следующие критерии отнесения клиентов к категории налогоплательщиков США, а также способы получения необходимой информации:</w:t>
      </w:r>
    </w:p>
    <w:p w:rsidR="000A4B0F" w:rsidRPr="0002121F" w:rsidRDefault="000A4B0F" w:rsidP="000A4B0F">
      <w:pPr>
        <w:pStyle w:val="BodyText"/>
        <w:jc w:val="both"/>
      </w:pPr>
    </w:p>
    <w:p w:rsidR="000A4B0F" w:rsidRPr="00445773" w:rsidRDefault="000A4B0F" w:rsidP="000A4B0F">
      <w:pPr>
        <w:pStyle w:val="BodyText"/>
        <w:numPr>
          <w:ilvl w:val="0"/>
          <w:numId w:val="20"/>
        </w:numPr>
        <w:ind w:left="709" w:hanging="709"/>
        <w:rPr>
          <w:b/>
        </w:rPr>
      </w:pPr>
      <w:r w:rsidRPr="00445773">
        <w:rPr>
          <w:b/>
        </w:rPr>
        <w:t>В отношении клиентов - физических лиц</w:t>
      </w:r>
    </w:p>
    <w:p w:rsidR="000A4B0F" w:rsidRDefault="000A4B0F" w:rsidP="000A4B0F">
      <w:pPr>
        <w:pStyle w:val="BodyText"/>
        <w:numPr>
          <w:ilvl w:val="1"/>
          <w:numId w:val="20"/>
        </w:numPr>
        <w:ind w:left="1418" w:hanging="709"/>
      </w:pPr>
      <w:r>
        <w:t>Физическое лицо является гражданином Соединенных Штатов Америки</w:t>
      </w:r>
      <w:r w:rsidR="00746B38">
        <w:t>;</w:t>
      </w:r>
    </w:p>
    <w:p w:rsidR="000A4B0F" w:rsidRDefault="000A4B0F" w:rsidP="000A4B0F">
      <w:pPr>
        <w:pStyle w:val="BodyText"/>
        <w:numPr>
          <w:ilvl w:val="1"/>
          <w:numId w:val="20"/>
        </w:numPr>
        <w:ind w:left="1418" w:hanging="709"/>
      </w:pPr>
      <w:r>
        <w:t>Физическое лицо имеет разрешение на постоянное пребыв</w:t>
      </w:r>
      <w:r w:rsidR="00746B38">
        <w:t>ание (вид на жительство) в США;</w:t>
      </w:r>
    </w:p>
    <w:p w:rsidR="000A4B0F" w:rsidRDefault="000A4B0F" w:rsidP="00746B38">
      <w:pPr>
        <w:pStyle w:val="BodyText"/>
        <w:numPr>
          <w:ilvl w:val="1"/>
          <w:numId w:val="20"/>
        </w:numPr>
        <w:ind w:left="1418" w:hanging="709"/>
        <w:jc w:val="both"/>
      </w:pPr>
      <w:r>
        <w:t>Физическое лицо соответствует критериям «Долгосрочного пребывания»</w:t>
      </w:r>
      <w:r>
        <w:rPr>
          <w:rStyle w:val="FootnoteReference"/>
        </w:rPr>
        <w:footnoteReference w:id="1"/>
      </w:r>
      <w:r>
        <w:t xml:space="preserve">. Налоговыми резидентами США не признаются учителя, студенты, стажеры, временно присутствовавшие на территории США на основании виз F, J, M или Q. </w:t>
      </w:r>
    </w:p>
    <w:p w:rsidR="000A4B0F" w:rsidRDefault="000A4B0F" w:rsidP="000A4B0F">
      <w:pPr>
        <w:pStyle w:val="BodyText"/>
        <w:ind w:left="708"/>
        <w:jc w:val="both"/>
      </w:pPr>
    </w:p>
    <w:p w:rsidR="000A4B0F" w:rsidRDefault="000A4B0F" w:rsidP="00746B38">
      <w:pPr>
        <w:pStyle w:val="BodyText"/>
        <w:jc w:val="both"/>
      </w:pPr>
      <w:r>
        <w:t>Документы и сведения, являющиеся основанием для отнесения физического лица к категории налоговый резидент США:</w:t>
      </w:r>
    </w:p>
    <w:p w:rsidR="000A4B0F" w:rsidRDefault="000A4B0F" w:rsidP="00746B38">
      <w:pPr>
        <w:pStyle w:val="BodyText"/>
        <w:ind w:left="708"/>
        <w:jc w:val="both"/>
      </w:pPr>
      <w:r>
        <w:t>•</w:t>
      </w:r>
      <w:r>
        <w:tab/>
        <w:t>Паспорт Гражданина США;</w:t>
      </w:r>
    </w:p>
    <w:p w:rsidR="000A4B0F" w:rsidRDefault="000A4B0F" w:rsidP="00746B38">
      <w:pPr>
        <w:pStyle w:val="BodyText"/>
        <w:ind w:left="708"/>
        <w:jc w:val="both"/>
      </w:pPr>
      <w:r>
        <w:t>•</w:t>
      </w:r>
      <w:r>
        <w:tab/>
        <w:t xml:space="preserve">Карточка постоянного жителя (форма I-551,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Card</w:t>
      </w:r>
      <w:proofErr w:type="spellEnd"/>
      <w:r>
        <w:t>);</w:t>
      </w:r>
    </w:p>
    <w:p w:rsidR="000A4B0F" w:rsidRDefault="000A4B0F" w:rsidP="00746B38">
      <w:pPr>
        <w:pStyle w:val="BodyText"/>
        <w:ind w:left="708"/>
        <w:jc w:val="both"/>
      </w:pPr>
      <w:r>
        <w:t>•</w:t>
      </w:r>
      <w:r>
        <w:tab/>
        <w:t>Наличие наименования или кода страны «США» в документах, подтверждающих адрес регистрации/местонахождения лица;</w:t>
      </w:r>
    </w:p>
    <w:p w:rsidR="000A4B0F" w:rsidRDefault="000A4B0F" w:rsidP="00746B38">
      <w:pPr>
        <w:pStyle w:val="BodyText"/>
        <w:ind w:left="708"/>
        <w:jc w:val="both"/>
      </w:pPr>
      <w:r>
        <w:t>•</w:t>
      </w:r>
      <w:r>
        <w:tab/>
        <w:t>ИНН лица, являющегося налогоплательщиком США (</w:t>
      </w:r>
      <w:proofErr w:type="spellStart"/>
      <w:r>
        <w:t>Tax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, TIN);</w:t>
      </w:r>
    </w:p>
    <w:p w:rsidR="000A4B0F" w:rsidRDefault="000A4B0F" w:rsidP="00746B38">
      <w:pPr>
        <w:pStyle w:val="BodyText"/>
        <w:ind w:left="708"/>
        <w:jc w:val="both"/>
      </w:pPr>
      <w:r>
        <w:t>•</w:t>
      </w:r>
      <w:r>
        <w:tab/>
        <w:t>Наличие банковского счета в банках, зарегистрированных на территории США;</w:t>
      </w:r>
    </w:p>
    <w:p w:rsidR="000A4B0F" w:rsidRDefault="000A4B0F" w:rsidP="00746B38">
      <w:pPr>
        <w:pStyle w:val="BodyText"/>
        <w:ind w:left="708"/>
        <w:jc w:val="both"/>
      </w:pPr>
      <w:r>
        <w:t>•</w:t>
      </w:r>
      <w:r>
        <w:tab/>
        <w:t>Место рождения – США;</w:t>
      </w:r>
    </w:p>
    <w:p w:rsidR="000A4B0F" w:rsidRDefault="000A4B0F" w:rsidP="00746B38">
      <w:pPr>
        <w:pStyle w:val="BodyText"/>
        <w:ind w:left="708"/>
        <w:jc w:val="both"/>
      </w:pPr>
      <w:r>
        <w:t>•</w:t>
      </w:r>
      <w:r>
        <w:tab/>
        <w:t>Наличие кода «+1» (США) в номере телефона лица;</w:t>
      </w:r>
    </w:p>
    <w:p w:rsidR="000A4B0F" w:rsidRDefault="000A4B0F" w:rsidP="00746B38">
      <w:pPr>
        <w:pStyle w:val="BodyText"/>
        <w:ind w:left="708"/>
        <w:jc w:val="both"/>
      </w:pPr>
      <w:r>
        <w:t>•</w:t>
      </w:r>
      <w:r>
        <w:tab/>
        <w:t>Доверенность, выданная лицу с адресом в США;</w:t>
      </w:r>
    </w:p>
    <w:p w:rsidR="000A4B0F" w:rsidRDefault="000A4B0F" w:rsidP="00746B38">
      <w:pPr>
        <w:pStyle w:val="BodyText"/>
        <w:ind w:left="708"/>
        <w:jc w:val="both"/>
      </w:pPr>
      <w:r>
        <w:t>•</w:t>
      </w:r>
      <w:r>
        <w:tab/>
        <w:t>Право подписи, выданное лицу с адресом в США.</w:t>
      </w:r>
    </w:p>
    <w:p w:rsidR="000A4B0F" w:rsidRPr="0002121F" w:rsidRDefault="000A4B0F" w:rsidP="000A4B0F">
      <w:pPr>
        <w:pStyle w:val="BodyText"/>
        <w:jc w:val="both"/>
      </w:pPr>
    </w:p>
    <w:p w:rsidR="000A4B0F" w:rsidRPr="00445773" w:rsidRDefault="000A4B0F" w:rsidP="000A4B0F">
      <w:pPr>
        <w:pStyle w:val="BodyText"/>
        <w:jc w:val="both"/>
      </w:pPr>
      <w:r>
        <w:lastRenderedPageBreak/>
        <w:t xml:space="preserve">Банк получает информацию для определения FATCA статуса физического лица на основании  заполненной Анкеты клиента (Client </w:t>
      </w:r>
      <w:proofErr w:type="spellStart"/>
      <w:r>
        <w:t>Questionnaire</w:t>
      </w:r>
      <w:proofErr w:type="spellEnd"/>
      <w:r>
        <w:t xml:space="preserve">) и иных форм, разработанных Банком в соответствии с требованиями законодательства Российской Федерации по ПОД/ФТ, Группы БНП </w:t>
      </w:r>
      <w:proofErr w:type="spellStart"/>
      <w:r>
        <w:t>Париба</w:t>
      </w:r>
      <w:proofErr w:type="spellEnd"/>
      <w:r>
        <w:t xml:space="preserve"> и НС США.</w:t>
      </w:r>
    </w:p>
    <w:p w:rsidR="000A4B0F" w:rsidRPr="0002121F" w:rsidRDefault="000A4B0F" w:rsidP="000A4B0F">
      <w:pPr>
        <w:pStyle w:val="BodyText"/>
        <w:jc w:val="both"/>
      </w:pPr>
    </w:p>
    <w:p w:rsidR="000A4B0F" w:rsidRPr="00445773" w:rsidRDefault="000A4B0F" w:rsidP="000A4B0F">
      <w:pPr>
        <w:pStyle w:val="BodyText"/>
        <w:numPr>
          <w:ilvl w:val="0"/>
          <w:numId w:val="20"/>
        </w:numPr>
        <w:ind w:left="709" w:hanging="709"/>
        <w:rPr>
          <w:b/>
        </w:rPr>
      </w:pPr>
      <w:r w:rsidRPr="00445773">
        <w:rPr>
          <w:b/>
        </w:rPr>
        <w:t xml:space="preserve">В отношении клиентов - юридических лиц </w:t>
      </w:r>
    </w:p>
    <w:p w:rsidR="000A4B0F" w:rsidRDefault="000A4B0F" w:rsidP="00746B38">
      <w:pPr>
        <w:pStyle w:val="BodyText"/>
        <w:numPr>
          <w:ilvl w:val="1"/>
          <w:numId w:val="20"/>
        </w:numPr>
        <w:ind w:left="1418" w:hanging="709"/>
        <w:jc w:val="both"/>
      </w:pPr>
      <w:r>
        <w:t xml:space="preserve">Юридическое лицо </w:t>
      </w:r>
      <w:proofErr w:type="gramStart"/>
      <w:r>
        <w:t>зарегистрировано</w:t>
      </w:r>
      <w:proofErr w:type="gramEnd"/>
      <w:r>
        <w:t xml:space="preserve">/учреждено на территории США и при этом не относится к лицам, исключенным из состава специально указанных налоговых резидентов США, в частности: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Американская корпорация, акции, которых регулярно котируются на одной или более организованной бирже ценных бумаг;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Американская компания или корпорация, которая входит в расширенную аффилированную группу компании и/или корпорации, указанной в предыдущем пункте;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Американская организация, освобожденная от налогообложения согласно секции 501 (а), а также пенсионные фонды, определение которых установлено секцией 7701(а)(37) НК США;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Государственное учреждение или агентство США и его дочерние организации;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Любой штат США, Округ Колумбия, подконтрольные США территории (Американское Самоа, Территория Гуам, Северные Марианские о-ва, </w:t>
      </w:r>
      <w:proofErr w:type="spellStart"/>
      <w:proofErr w:type="gramStart"/>
      <w:r>
        <w:t>Пуэрто</w:t>
      </w:r>
      <w:proofErr w:type="spellEnd"/>
      <w:r>
        <w:t xml:space="preserve"> </w:t>
      </w:r>
      <w:proofErr w:type="spellStart"/>
      <w:r>
        <w:t>Рико</w:t>
      </w:r>
      <w:proofErr w:type="spellEnd"/>
      <w:proofErr w:type="gramEnd"/>
      <w:r>
        <w:t xml:space="preserve">, Американские Виргинские о-ва), их любое политическое отделение данных или любое агентство или другое образование, которое ими создано или полностью им принадлежит;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Американский банк в соответствии с определением секции 581 НК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лицензию);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Американский инвестиционный фонд недвижимости, определенный в соответствии с секцией 856 НК США;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Американская регулируемая инвестиционная компания, соответствующая определению секции 851 НК США или любая компания, зарегистрированная в Комиссии по ценным бумагам и биржам;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>Американский инвестиционный фонд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) в соответствии с определением, содержащимся в секции 584 НК США;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Американский дилер ценными бумагами, товарами биржевой торговли, или производными ценными бумагами, </w:t>
      </w:r>
      <w:proofErr w:type="spellStart"/>
      <w:r>
        <w:t>деривативами</w:t>
      </w:r>
      <w:proofErr w:type="spellEnd"/>
      <w:r>
        <w:t xml:space="preserve"> (включая такие инструменты как фьючерсы, форварды, опционы), который зарегистрирован в качестве дилера в соответствии с требованиями законодательства США;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Американский брокер, имеющий соответствующую лицензию;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Американский траст, освобожденный от налогообложения согласно секции 664 (с) НК США (касательно трастов, созданных для благотворительных целей); </w:t>
      </w:r>
    </w:p>
    <w:p w:rsidR="000A4B0F" w:rsidRDefault="000A4B0F" w:rsidP="000A4B0F">
      <w:pPr>
        <w:pStyle w:val="BodyText"/>
        <w:ind w:left="1418"/>
        <w:jc w:val="both"/>
      </w:pPr>
      <w:r>
        <w:t>•</w:t>
      </w:r>
      <w:r>
        <w:tab/>
        <w:t xml:space="preserve">Американский траст, освобожденный от налогообложения согласно секции 403(b) Налогового Кодекса США (трасты, созданные для сотрудников организации, удовлетворяющие определенным критериям) и секции 457 (g) (трасты, созданные для выплаты компенсаций сотрудникам государственных организаций США). </w:t>
      </w:r>
    </w:p>
    <w:p w:rsidR="000A4B0F" w:rsidRDefault="000A4B0F" w:rsidP="000A4B0F">
      <w:pPr>
        <w:pStyle w:val="BodyText"/>
        <w:numPr>
          <w:ilvl w:val="1"/>
          <w:numId w:val="20"/>
        </w:numPr>
        <w:ind w:left="1418" w:hanging="709"/>
        <w:jc w:val="both"/>
      </w:pPr>
      <w:r>
        <w:t xml:space="preserve">Юридическое лицо </w:t>
      </w:r>
      <w:proofErr w:type="gramStart"/>
      <w:r>
        <w:t>зарегистрировано</w:t>
      </w:r>
      <w:proofErr w:type="gramEnd"/>
      <w:r>
        <w:t xml:space="preserve">/учреждено не на территории США, не является финансовым институтом для целей FATCA, но в состав контролирующих лиц (бенефициаров) юридического лица, которым прямо или косвенно принадлежит более 10% доли в юридическом лице, входит одно из следующих лиц: </w:t>
      </w:r>
    </w:p>
    <w:p w:rsidR="000A4B0F" w:rsidRDefault="000A4B0F" w:rsidP="000A4B0F">
      <w:pPr>
        <w:pStyle w:val="BodyText"/>
        <w:ind w:left="1416"/>
        <w:jc w:val="both"/>
      </w:pPr>
      <w:r>
        <w:lastRenderedPageBreak/>
        <w:t>•</w:t>
      </w:r>
      <w:r>
        <w:tab/>
        <w:t xml:space="preserve">Физические лица, которые являются налоговыми резидентами США (в соответствии с п. 1 настоящего Приложения); </w:t>
      </w:r>
    </w:p>
    <w:p w:rsidR="000A4B0F" w:rsidRDefault="000A4B0F" w:rsidP="000A4B0F">
      <w:pPr>
        <w:pStyle w:val="BodyText"/>
        <w:ind w:left="1416"/>
        <w:jc w:val="both"/>
      </w:pPr>
      <w:r>
        <w:t>•</w:t>
      </w:r>
      <w:r>
        <w:tab/>
        <w:t xml:space="preserve">Юридические лица, которые </w:t>
      </w:r>
      <w:proofErr w:type="gramStart"/>
      <w:r>
        <w:t>зарегистрированы</w:t>
      </w:r>
      <w:proofErr w:type="gramEnd"/>
      <w:r>
        <w:t>/учреждены на территории США и которые не относятся к категории юридических лиц, исключенных из состава специально указанных налоговых резидентов США (в соответствии с п. 2.1. настоящего Приложения) и более 50% (по отдельности или в совокупности) совокупного дохода такого юридического лица за предшествующий год составляют «пассивные доходы»</w:t>
      </w:r>
      <w:r>
        <w:rPr>
          <w:rStyle w:val="FootnoteReference"/>
        </w:rPr>
        <w:footnoteReference w:id="2"/>
      </w:r>
      <w:r>
        <w:t>, и более 50% (по отдельности или в совокупности) от средневзвешенной величины активов юридического лица (на конец квартала), составляют активы, приносящие такой доход.</w:t>
      </w:r>
    </w:p>
    <w:p w:rsidR="000A4B0F" w:rsidRPr="00445773" w:rsidRDefault="000A4B0F" w:rsidP="00746B38">
      <w:pPr>
        <w:pStyle w:val="BodyText"/>
        <w:jc w:val="both"/>
      </w:pPr>
    </w:p>
    <w:p w:rsidR="00076F2F" w:rsidRDefault="000A4B0F" w:rsidP="00746B38">
      <w:pPr>
        <w:jc w:val="both"/>
      </w:pPr>
      <w:r>
        <w:t xml:space="preserve">Банк получает информацию для определения FATCA статуса физического лица на основании  заполненной Анкеты клиента (Client </w:t>
      </w:r>
      <w:proofErr w:type="spellStart"/>
      <w:r>
        <w:t>Questionnaire</w:t>
      </w:r>
      <w:proofErr w:type="spellEnd"/>
      <w:r>
        <w:t>) и иных форм, разработанных Банком в соответствии с требованиями законодательства Российской Федерации по ПОД/ФТ, Группы БНП П</w:t>
      </w:r>
      <w:r w:rsidR="00894EB9">
        <w:t>АРИБА</w:t>
      </w:r>
      <w:r>
        <w:t xml:space="preserve"> и НС США.</w:t>
      </w:r>
    </w:p>
    <w:sectPr w:rsidR="00076F2F" w:rsidSect="00C050E8">
      <w:pgSz w:w="11907" w:h="16840" w:code="9"/>
      <w:pgMar w:top="1418" w:right="1418" w:bottom="1418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FE" w:rsidRDefault="00D413FE" w:rsidP="000A4B0F">
      <w:r>
        <w:separator/>
      </w:r>
    </w:p>
  </w:endnote>
  <w:endnote w:type="continuationSeparator" w:id="0">
    <w:p w:rsidR="00D413FE" w:rsidRDefault="00D413FE" w:rsidP="000A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FE" w:rsidRDefault="00D413FE" w:rsidP="000A4B0F">
      <w:r>
        <w:separator/>
      </w:r>
    </w:p>
  </w:footnote>
  <w:footnote w:type="continuationSeparator" w:id="0">
    <w:p w:rsidR="00D413FE" w:rsidRDefault="00D413FE" w:rsidP="000A4B0F">
      <w:r>
        <w:continuationSeparator/>
      </w:r>
    </w:p>
  </w:footnote>
  <w:footnote w:id="1">
    <w:p w:rsidR="000A4B0F" w:rsidRPr="00413376" w:rsidRDefault="000A4B0F" w:rsidP="000A4B0F">
      <w:pPr>
        <w:pStyle w:val="FootnoteText"/>
      </w:pPr>
      <w:r>
        <w:rPr>
          <w:rStyle w:val="FootnoteReference"/>
        </w:rPr>
        <w:footnoteRef/>
      </w:r>
      <w:r w:rsidRPr="00413376">
        <w:t xml:space="preserve"> Физическое лицо признается налоговым резидентом США по основанию «долгосрочного пребывания», если лицо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 </w:t>
      </w:r>
    </w:p>
    <w:p w:rsidR="000A4B0F" w:rsidRPr="00413376" w:rsidRDefault="000A4B0F" w:rsidP="000A4B0F">
      <w:pPr>
        <w:pStyle w:val="FootnoteText"/>
        <w:numPr>
          <w:ilvl w:val="0"/>
          <w:numId w:val="19"/>
        </w:numPr>
      </w:pPr>
      <w:r w:rsidRPr="00413376">
        <w:rPr>
          <w:i/>
          <w:iCs/>
        </w:rPr>
        <w:t xml:space="preserve">коэффициент для текущего года равен 1 (т.е. учитываются все дни, проведенные в США в текущем году); </w:t>
      </w:r>
    </w:p>
    <w:p w:rsidR="000A4B0F" w:rsidRPr="00413376" w:rsidRDefault="000A4B0F" w:rsidP="000A4B0F">
      <w:pPr>
        <w:pStyle w:val="FootnoteText"/>
        <w:numPr>
          <w:ilvl w:val="0"/>
          <w:numId w:val="19"/>
        </w:numPr>
      </w:pPr>
      <w:r w:rsidRPr="00413376">
        <w:rPr>
          <w:i/>
          <w:iCs/>
        </w:rPr>
        <w:t xml:space="preserve">коэффициент предшествующего года равен 1/3 и </w:t>
      </w:r>
    </w:p>
    <w:p w:rsidR="000A4B0F" w:rsidRPr="00413376" w:rsidRDefault="000A4B0F" w:rsidP="000A4B0F">
      <w:pPr>
        <w:pStyle w:val="FootnoteText"/>
        <w:numPr>
          <w:ilvl w:val="0"/>
          <w:numId w:val="19"/>
        </w:numPr>
      </w:pPr>
      <w:r w:rsidRPr="00413376">
        <w:rPr>
          <w:i/>
          <w:iCs/>
        </w:rPr>
        <w:t xml:space="preserve">коэффициент позапрошлого года 1/6. </w:t>
      </w:r>
    </w:p>
    <w:p w:rsidR="000A4B0F" w:rsidRDefault="000A4B0F" w:rsidP="000A4B0F">
      <w:pPr>
        <w:pStyle w:val="FootnoteText"/>
      </w:pPr>
    </w:p>
  </w:footnote>
  <w:footnote w:id="2">
    <w:p w:rsidR="000A4B0F" w:rsidRPr="00413376" w:rsidRDefault="000A4B0F" w:rsidP="000A4B0F">
      <w:pPr>
        <w:pStyle w:val="FootnoteText"/>
        <w:jc w:val="both"/>
      </w:pPr>
      <w:r>
        <w:rPr>
          <w:rStyle w:val="FootnoteReference"/>
        </w:rPr>
        <w:footnoteRef/>
      </w:r>
      <w:r w:rsidRPr="00413376">
        <w:t xml:space="preserve"> </w:t>
      </w:r>
      <w:proofErr w:type="gramStart"/>
      <w:r w:rsidRPr="00413376">
        <w:t>К «пассивным доходам» относятся дивиденды; проценты; доходы, полученные от пула страховых договоров, при условии, что полученные суммы зависят целиком или в части от доходности пула; рента и роялти (за исключением ренты и роялти, полученной в ходе активной операционной деятельности); аннуитеты; прибыль от продажи или обмена имущества, приносящего один из видов вышеуказанных доходов;</w:t>
      </w:r>
      <w:proofErr w:type="gramEnd"/>
      <w:r w:rsidRPr="00413376">
        <w:t xml:space="preserve"> </w:t>
      </w:r>
      <w:proofErr w:type="gramStart"/>
      <w:r w:rsidRPr="00413376">
        <w:t xml:space="preserve">прибыль от сделок с биржевыми товарами (включая фьючерсы, форварды и аналогичные сделки), за исключением сделок, которые являются хеджирующими, при условии, что сделки с такими товарами являются основной деятельностью; прибыль от операций с иностранной валютой (положительные или отрицательные курсовые разницы); контракты, стоимость которых привязана к базовому активу (номиналу), например, </w:t>
      </w:r>
      <w:proofErr w:type="spellStart"/>
      <w:r w:rsidRPr="00413376">
        <w:t>деривативы</w:t>
      </w:r>
      <w:proofErr w:type="spellEnd"/>
      <w:r w:rsidRPr="00413376">
        <w:t xml:space="preserve"> (валютный СВОП, процентный СВОП, опционы и др.);</w:t>
      </w:r>
      <w:proofErr w:type="gramEnd"/>
      <w:r w:rsidRPr="00413376">
        <w:t xml:space="preserve"> выкупная сумма по договору страхования или сумма займа, обеспеченная договором страхования; суммы, полученные страховой компанией за счет резервов на осуществление страховой деятельности и аннуитетов. </w:t>
      </w:r>
    </w:p>
    <w:p w:rsidR="000A4B0F" w:rsidRDefault="000A4B0F" w:rsidP="000A4B0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CAD"/>
    <w:multiLevelType w:val="multilevel"/>
    <w:tmpl w:val="7166D318"/>
    <w:lvl w:ilvl="0">
      <w:start w:val="1"/>
      <w:numFmt w:val="decimal"/>
      <w:pStyle w:val="Heading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90"/>
        </w:tabs>
        <w:ind w:left="1034" w:hanging="52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1">
    <w:nsid w:val="75E116F6"/>
    <w:multiLevelType w:val="hybridMultilevel"/>
    <w:tmpl w:val="15A47C4E"/>
    <w:lvl w:ilvl="0" w:tplc="48E4B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73B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0F"/>
    <w:rsid w:val="00076F2F"/>
    <w:rsid w:val="000A4B0F"/>
    <w:rsid w:val="00746B38"/>
    <w:rsid w:val="00894EB9"/>
    <w:rsid w:val="0098651C"/>
    <w:rsid w:val="009A3377"/>
    <w:rsid w:val="00BC7933"/>
    <w:rsid w:val="00C050E8"/>
    <w:rsid w:val="00C302BA"/>
    <w:rsid w:val="00D413FE"/>
    <w:rsid w:val="00D563D4"/>
    <w:rsid w:val="00F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0F"/>
    <w:rPr>
      <w:rFonts w:ascii="Arial Narrow" w:hAnsi="Arial Narrow"/>
      <w:sz w:val="22"/>
      <w:lang w:eastAsia="ru-RU" w:bidi="ru-RU"/>
    </w:rPr>
  </w:style>
  <w:style w:type="paragraph" w:styleId="Heading1">
    <w:name w:val="heading 1"/>
    <w:basedOn w:val="Normal"/>
    <w:next w:val="BodyText"/>
    <w:link w:val="Heading1Char"/>
    <w:qFormat/>
    <w:rsid w:val="00BC7933"/>
    <w:pPr>
      <w:keepNext/>
      <w:keepLines/>
      <w:numPr>
        <w:numId w:val="18"/>
      </w:numPr>
      <w:spacing w:before="200" w:after="200"/>
      <w:jc w:val="both"/>
      <w:outlineLvl w:val="0"/>
    </w:pPr>
    <w:rPr>
      <w:rFonts w:ascii="Arial" w:hAnsi="Arial" w:cs="Arial"/>
      <w:b/>
      <w:bCs/>
      <w:kern w:val="32"/>
      <w:sz w:val="28"/>
      <w:szCs w:val="32"/>
      <w:lang w:val="nl-NL"/>
    </w:rPr>
  </w:style>
  <w:style w:type="paragraph" w:styleId="Heading2">
    <w:name w:val="heading 2"/>
    <w:basedOn w:val="Normal"/>
    <w:next w:val="BodyText"/>
    <w:link w:val="Heading2Char"/>
    <w:qFormat/>
    <w:rsid w:val="00BC7933"/>
    <w:pPr>
      <w:keepNext/>
      <w:keepLines/>
      <w:numPr>
        <w:ilvl w:val="1"/>
        <w:numId w:val="18"/>
      </w:numPr>
      <w:spacing w:before="12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C7933"/>
    <w:pPr>
      <w:keepNext/>
      <w:keepLines/>
      <w:numPr>
        <w:ilvl w:val="2"/>
        <w:numId w:val="18"/>
      </w:numPr>
      <w:spacing w:before="100" w:after="100"/>
      <w:jc w:val="both"/>
      <w:outlineLvl w:val="2"/>
    </w:pPr>
    <w:rPr>
      <w:b/>
      <w:i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BC7933"/>
    <w:pPr>
      <w:keepNext/>
      <w:numPr>
        <w:ilvl w:val="3"/>
        <w:numId w:val="18"/>
      </w:numPr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BodyText"/>
    <w:link w:val="Heading5Char"/>
    <w:qFormat/>
    <w:rsid w:val="00BC7933"/>
    <w:pPr>
      <w:keepNext/>
      <w:numPr>
        <w:ilvl w:val="4"/>
        <w:numId w:val="18"/>
      </w:numPr>
      <w:tabs>
        <w:tab w:val="left" w:pos="3119"/>
      </w:tabs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BodyText"/>
    <w:link w:val="Heading6Char"/>
    <w:qFormat/>
    <w:rsid w:val="00BC7933"/>
    <w:pPr>
      <w:keepNext/>
      <w:numPr>
        <w:ilvl w:val="5"/>
        <w:numId w:val="18"/>
      </w:numPr>
      <w:jc w:val="center"/>
      <w:outlineLvl w:val="5"/>
    </w:pPr>
    <w:rPr>
      <w:rFonts w:ascii="Arial" w:hAnsi="Arial"/>
      <w:b/>
      <w:sz w:val="24"/>
      <w:lang w:val="en-US"/>
    </w:rPr>
  </w:style>
  <w:style w:type="paragraph" w:styleId="Heading7">
    <w:name w:val="heading 7"/>
    <w:basedOn w:val="Normal"/>
    <w:next w:val="BodyText"/>
    <w:link w:val="Heading7Char"/>
    <w:qFormat/>
    <w:rsid w:val="00BC7933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BC7933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BC793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7933"/>
    <w:rPr>
      <w:rFonts w:ascii="Arial" w:hAnsi="Arial" w:cs="Arial"/>
      <w:b/>
      <w:bCs/>
      <w:kern w:val="32"/>
      <w:sz w:val="28"/>
      <w:szCs w:val="32"/>
      <w:lang w:val="nl-NL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F75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199"/>
    <w:rPr>
      <w:rFonts w:ascii="Arial Narrow" w:hAnsi="Arial Narrow"/>
      <w:sz w:val="22"/>
      <w:lang w:val="en-GB" w:eastAsia="ja-JP"/>
    </w:rPr>
  </w:style>
  <w:style w:type="character" w:customStyle="1" w:styleId="Heading2Char">
    <w:name w:val="Heading 2 Char"/>
    <w:link w:val="Heading2"/>
    <w:rsid w:val="00BC7933"/>
    <w:rPr>
      <w:rFonts w:ascii="Arial" w:hAnsi="Arial" w:cs="Arial"/>
      <w:b/>
      <w:bCs/>
      <w:i/>
      <w:iCs/>
      <w:sz w:val="28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F75199"/>
    <w:rPr>
      <w:rFonts w:ascii="Arial Narrow" w:hAnsi="Arial Narrow"/>
      <w:b/>
      <w:i/>
      <w:sz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F75199"/>
    <w:rPr>
      <w:rFonts w:ascii="Arial" w:hAnsi="Arial"/>
      <w:b/>
      <w:sz w:val="22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F75199"/>
    <w:rPr>
      <w:rFonts w:ascii="Arial" w:hAnsi="Arial"/>
      <w:b/>
      <w:sz w:val="22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F75199"/>
    <w:rPr>
      <w:rFonts w:ascii="Arial" w:hAnsi="Arial"/>
      <w:b/>
      <w:sz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F75199"/>
    <w:rPr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F75199"/>
    <w:rPr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F75199"/>
    <w:rPr>
      <w:rFonts w:ascii="Arial" w:hAnsi="Arial" w:cs="Arial"/>
      <w:sz w:val="22"/>
      <w:szCs w:val="22"/>
      <w:lang w:val="en-GB" w:eastAsia="ja-JP"/>
    </w:rPr>
  </w:style>
  <w:style w:type="paragraph" w:styleId="Title">
    <w:name w:val="Title"/>
    <w:basedOn w:val="Normal"/>
    <w:link w:val="TitleChar"/>
    <w:uiPriority w:val="10"/>
    <w:qFormat/>
    <w:rsid w:val="00F751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5199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ja-JP"/>
    </w:rPr>
  </w:style>
  <w:style w:type="character" w:styleId="IntenseReference">
    <w:name w:val="Intense Reference"/>
    <w:basedOn w:val="DefaultParagraphFont"/>
    <w:uiPriority w:val="32"/>
    <w:qFormat/>
    <w:rsid w:val="000A4B0F"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B0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B0F"/>
    <w:rPr>
      <w:rFonts w:ascii="Arial Narrow" w:hAnsi="Arial Narrow"/>
      <w:lang w:eastAsia="ru-RU" w:bidi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A4B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B9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0F"/>
    <w:rPr>
      <w:rFonts w:ascii="Arial Narrow" w:hAnsi="Arial Narrow"/>
      <w:sz w:val="22"/>
      <w:lang w:eastAsia="ru-RU" w:bidi="ru-RU"/>
    </w:rPr>
  </w:style>
  <w:style w:type="paragraph" w:styleId="Heading1">
    <w:name w:val="heading 1"/>
    <w:basedOn w:val="Normal"/>
    <w:next w:val="BodyText"/>
    <w:link w:val="Heading1Char"/>
    <w:qFormat/>
    <w:rsid w:val="00BC7933"/>
    <w:pPr>
      <w:keepNext/>
      <w:keepLines/>
      <w:numPr>
        <w:numId w:val="18"/>
      </w:numPr>
      <w:spacing w:before="200" w:after="200"/>
      <w:jc w:val="both"/>
      <w:outlineLvl w:val="0"/>
    </w:pPr>
    <w:rPr>
      <w:rFonts w:ascii="Arial" w:hAnsi="Arial" w:cs="Arial"/>
      <w:b/>
      <w:bCs/>
      <w:kern w:val="32"/>
      <w:sz w:val="28"/>
      <w:szCs w:val="32"/>
      <w:lang w:val="nl-NL"/>
    </w:rPr>
  </w:style>
  <w:style w:type="paragraph" w:styleId="Heading2">
    <w:name w:val="heading 2"/>
    <w:basedOn w:val="Normal"/>
    <w:next w:val="BodyText"/>
    <w:link w:val="Heading2Char"/>
    <w:qFormat/>
    <w:rsid w:val="00BC7933"/>
    <w:pPr>
      <w:keepNext/>
      <w:keepLines/>
      <w:numPr>
        <w:ilvl w:val="1"/>
        <w:numId w:val="18"/>
      </w:numPr>
      <w:spacing w:before="12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C7933"/>
    <w:pPr>
      <w:keepNext/>
      <w:keepLines/>
      <w:numPr>
        <w:ilvl w:val="2"/>
        <w:numId w:val="18"/>
      </w:numPr>
      <w:spacing w:before="100" w:after="100"/>
      <w:jc w:val="both"/>
      <w:outlineLvl w:val="2"/>
    </w:pPr>
    <w:rPr>
      <w:b/>
      <w:i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BC7933"/>
    <w:pPr>
      <w:keepNext/>
      <w:numPr>
        <w:ilvl w:val="3"/>
        <w:numId w:val="18"/>
      </w:numPr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BodyText"/>
    <w:link w:val="Heading5Char"/>
    <w:qFormat/>
    <w:rsid w:val="00BC7933"/>
    <w:pPr>
      <w:keepNext/>
      <w:numPr>
        <w:ilvl w:val="4"/>
        <w:numId w:val="18"/>
      </w:numPr>
      <w:tabs>
        <w:tab w:val="left" w:pos="3119"/>
      </w:tabs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BodyText"/>
    <w:link w:val="Heading6Char"/>
    <w:qFormat/>
    <w:rsid w:val="00BC7933"/>
    <w:pPr>
      <w:keepNext/>
      <w:numPr>
        <w:ilvl w:val="5"/>
        <w:numId w:val="18"/>
      </w:numPr>
      <w:jc w:val="center"/>
      <w:outlineLvl w:val="5"/>
    </w:pPr>
    <w:rPr>
      <w:rFonts w:ascii="Arial" w:hAnsi="Arial"/>
      <w:b/>
      <w:sz w:val="24"/>
      <w:lang w:val="en-US"/>
    </w:rPr>
  </w:style>
  <w:style w:type="paragraph" w:styleId="Heading7">
    <w:name w:val="heading 7"/>
    <w:basedOn w:val="Normal"/>
    <w:next w:val="BodyText"/>
    <w:link w:val="Heading7Char"/>
    <w:qFormat/>
    <w:rsid w:val="00BC7933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qFormat/>
    <w:rsid w:val="00BC7933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BC7933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7933"/>
    <w:rPr>
      <w:rFonts w:ascii="Arial" w:hAnsi="Arial" w:cs="Arial"/>
      <w:b/>
      <w:bCs/>
      <w:kern w:val="32"/>
      <w:sz w:val="28"/>
      <w:szCs w:val="32"/>
      <w:lang w:val="nl-NL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F75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199"/>
    <w:rPr>
      <w:rFonts w:ascii="Arial Narrow" w:hAnsi="Arial Narrow"/>
      <w:sz w:val="22"/>
      <w:lang w:val="en-GB" w:eastAsia="ja-JP"/>
    </w:rPr>
  </w:style>
  <w:style w:type="character" w:customStyle="1" w:styleId="Heading2Char">
    <w:name w:val="Heading 2 Char"/>
    <w:link w:val="Heading2"/>
    <w:rsid w:val="00BC7933"/>
    <w:rPr>
      <w:rFonts w:ascii="Arial" w:hAnsi="Arial" w:cs="Arial"/>
      <w:b/>
      <w:bCs/>
      <w:i/>
      <w:iCs/>
      <w:sz w:val="28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F75199"/>
    <w:rPr>
      <w:rFonts w:ascii="Arial Narrow" w:hAnsi="Arial Narrow"/>
      <w:b/>
      <w:i/>
      <w:sz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F75199"/>
    <w:rPr>
      <w:rFonts w:ascii="Arial" w:hAnsi="Arial"/>
      <w:b/>
      <w:sz w:val="22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F75199"/>
    <w:rPr>
      <w:rFonts w:ascii="Arial" w:hAnsi="Arial"/>
      <w:b/>
      <w:sz w:val="22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F75199"/>
    <w:rPr>
      <w:rFonts w:ascii="Arial" w:hAnsi="Arial"/>
      <w:b/>
      <w:sz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F75199"/>
    <w:rPr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F75199"/>
    <w:rPr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F75199"/>
    <w:rPr>
      <w:rFonts w:ascii="Arial" w:hAnsi="Arial" w:cs="Arial"/>
      <w:sz w:val="22"/>
      <w:szCs w:val="22"/>
      <w:lang w:val="en-GB" w:eastAsia="ja-JP"/>
    </w:rPr>
  </w:style>
  <w:style w:type="paragraph" w:styleId="Title">
    <w:name w:val="Title"/>
    <w:basedOn w:val="Normal"/>
    <w:link w:val="TitleChar"/>
    <w:uiPriority w:val="10"/>
    <w:qFormat/>
    <w:rsid w:val="00F751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5199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ja-JP"/>
    </w:rPr>
  </w:style>
  <w:style w:type="character" w:styleId="IntenseReference">
    <w:name w:val="Intense Reference"/>
    <w:basedOn w:val="DefaultParagraphFont"/>
    <w:uiPriority w:val="32"/>
    <w:qFormat/>
    <w:rsid w:val="000A4B0F"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B0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B0F"/>
    <w:rPr>
      <w:rFonts w:ascii="Arial Narrow" w:hAnsi="Arial Narrow"/>
      <w:lang w:eastAsia="ru-RU" w:bidi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A4B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B9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AKIMOV</dc:creator>
  <cp:lastModifiedBy>Dmitry BORSCHEVSKY</cp:lastModifiedBy>
  <cp:revision>2</cp:revision>
  <dcterms:created xsi:type="dcterms:W3CDTF">2015-02-13T10:21:00Z</dcterms:created>
  <dcterms:modified xsi:type="dcterms:W3CDTF">2015-02-13T10:21:00Z</dcterms:modified>
</cp:coreProperties>
</file>